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1B8" w:rsidRDefault="001B11B8">
      <w:pPr>
        <w:tabs>
          <w:tab w:val="left" w:pos="717"/>
        </w:tabs>
        <w:jc w:val="left"/>
        <w:rPr>
          <w:color w:val="0D0D0D" w:themeColor="text1" w:themeTint="F2"/>
        </w:rPr>
      </w:pPr>
    </w:p>
    <w:p w:rsidR="001B11B8" w:rsidRDefault="002B21F0">
      <w:pPr>
        <w:jc w:val="left"/>
        <w:rPr>
          <w:b/>
          <w:bCs/>
          <w:color w:val="0D0D0D" w:themeColor="text1" w:themeTint="F2"/>
          <w:sz w:val="28"/>
          <w:szCs w:val="28"/>
        </w:rPr>
      </w:pPr>
      <w:r>
        <w:rPr>
          <w:rFonts w:ascii="宋体" w:eastAsia="宋体" w:hAnsi="宋体" w:cs="宋体" w:hint="eastAsia"/>
          <w:color w:val="0D0D0D" w:themeColor="text1" w:themeTint="F2"/>
          <w:kern w:val="0"/>
          <w:sz w:val="28"/>
          <w:szCs w:val="28"/>
        </w:rPr>
        <w:t>附件</w:t>
      </w:r>
      <w:r>
        <w:rPr>
          <w:rFonts w:ascii="宋体" w:eastAsia="宋体" w:hAnsi="宋体" w:cs="宋体" w:hint="eastAsia"/>
          <w:color w:val="0D0D0D" w:themeColor="text1" w:themeTint="F2"/>
          <w:kern w:val="0"/>
          <w:sz w:val="28"/>
          <w:szCs w:val="28"/>
        </w:rPr>
        <w:t>1</w:t>
      </w:r>
    </w:p>
    <w:p w:rsidR="001B11B8" w:rsidRDefault="002B21F0">
      <w:pPr>
        <w:jc w:val="center"/>
        <w:rPr>
          <w:b/>
          <w:color w:val="0D0D0D" w:themeColor="text1" w:themeTint="F2"/>
          <w:sz w:val="32"/>
          <w:szCs w:val="32"/>
        </w:rPr>
      </w:pPr>
      <w:r>
        <w:rPr>
          <w:rFonts w:hint="eastAsia"/>
          <w:b/>
          <w:color w:val="0D0D0D" w:themeColor="text1" w:themeTint="F2"/>
          <w:sz w:val="32"/>
          <w:szCs w:val="32"/>
        </w:rPr>
        <w:t>玉溪市中医医院云南省区域中医（骨伤）诊疗中心骨伤专科培训基地第二批教学设备购置参数确认表</w:t>
      </w:r>
      <w:r w:rsidR="00EA3AFD">
        <w:rPr>
          <w:rFonts w:hint="eastAsia"/>
          <w:b/>
          <w:color w:val="0D0D0D" w:themeColor="text1" w:themeTint="F2"/>
          <w:sz w:val="32"/>
          <w:szCs w:val="32"/>
        </w:rPr>
        <w:t>（</w:t>
      </w:r>
      <w:r w:rsidR="00EA3AFD">
        <w:rPr>
          <w:rFonts w:hint="eastAsia"/>
          <w:b/>
          <w:color w:val="0D0D0D" w:themeColor="text1" w:themeTint="F2"/>
          <w:sz w:val="32"/>
          <w:szCs w:val="32"/>
        </w:rPr>
        <w:t>1</w:t>
      </w:r>
      <w:r w:rsidR="00EA3AFD">
        <w:rPr>
          <w:rFonts w:hint="eastAsia"/>
          <w:b/>
          <w:color w:val="0D0D0D" w:themeColor="text1" w:themeTint="F2"/>
          <w:sz w:val="32"/>
          <w:szCs w:val="32"/>
        </w:rPr>
        <w:t>包）</w:t>
      </w:r>
    </w:p>
    <w:tbl>
      <w:tblPr>
        <w:tblW w:w="10205" w:type="dxa"/>
        <w:jc w:val="center"/>
        <w:tblInd w:w="-1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1"/>
        <w:gridCol w:w="8100"/>
        <w:gridCol w:w="954"/>
      </w:tblGrid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rFonts w:ascii="宋体" w:hAnsi="宋体"/>
                <w:color w:val="0D0D0D" w:themeColor="text1" w:themeTint="F2"/>
                <w:sz w:val="28"/>
                <w:szCs w:val="28"/>
              </w:rPr>
            </w:pPr>
            <w:r>
              <w:rPr>
                <w:rFonts w:ascii="宋体" w:hAnsi="宋体" w:hint="eastAsia"/>
                <w:color w:val="0D0D0D" w:themeColor="text1" w:themeTint="F2"/>
                <w:sz w:val="28"/>
                <w:szCs w:val="28"/>
              </w:rPr>
              <w:t>序号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宋体" w:hAnsi="宋体"/>
                <w:color w:val="0D0D0D" w:themeColor="text1" w:themeTint="F2"/>
                <w:sz w:val="28"/>
                <w:szCs w:val="28"/>
              </w:rPr>
            </w:pPr>
            <w:r>
              <w:rPr>
                <w:rFonts w:ascii="宋体" w:hAnsi="宋体" w:hint="eastAsia"/>
                <w:color w:val="0D0D0D" w:themeColor="text1" w:themeTint="F2"/>
                <w:sz w:val="28"/>
                <w:szCs w:val="28"/>
              </w:rPr>
              <w:t>技术参数</w:t>
            </w:r>
          </w:p>
        </w:tc>
        <w:tc>
          <w:tcPr>
            <w:tcW w:w="954" w:type="dxa"/>
            <w:vAlign w:val="center"/>
          </w:tcPr>
          <w:p w:rsidR="001B11B8" w:rsidRDefault="002B21F0">
            <w:pPr>
              <w:jc w:val="center"/>
              <w:rPr>
                <w:color w:val="0D0D0D" w:themeColor="text1" w:themeTint="F2"/>
                <w:sz w:val="28"/>
                <w:szCs w:val="28"/>
              </w:rPr>
            </w:pPr>
            <w:r>
              <w:rPr>
                <w:rFonts w:hint="eastAsia"/>
                <w:color w:val="0D0D0D" w:themeColor="text1" w:themeTint="F2"/>
                <w:sz w:val="28"/>
                <w:szCs w:val="28"/>
              </w:rPr>
              <w:t>备注</w:t>
            </w: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1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系统设备的名称、数量、产品定位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510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1.1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spacing w:line="500" w:lineRule="exact"/>
              <w:rPr>
                <w:b/>
                <w:color w:val="0D0D0D" w:themeColor="text1" w:themeTint="F2"/>
                <w:sz w:val="28"/>
                <w:szCs w:val="28"/>
              </w:rPr>
            </w:pPr>
            <w:r>
              <w:rPr>
                <w:rFonts w:hint="eastAsia"/>
                <w:color w:val="0D0D0D" w:themeColor="text1" w:themeTint="F2"/>
              </w:rPr>
              <w:t>名称：</w:t>
            </w:r>
            <w:r>
              <w:rPr>
                <w:rFonts w:ascii="Calibri" w:eastAsia="宋体" w:hAnsi="Calibri" w:cs="Times New Roman" w:hint="eastAsia"/>
                <w:b/>
                <w:bCs/>
                <w:color w:val="0D0D0D" w:themeColor="text1" w:themeTint="F2"/>
              </w:rPr>
              <w:t>教学和培训用手术显微镜设备</w:t>
            </w:r>
            <w:bookmarkStart w:id="0" w:name="_GoBack"/>
            <w:bookmarkEnd w:id="0"/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17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1.2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数量：</w:t>
            </w:r>
            <w:r>
              <w:rPr>
                <w:rFonts w:hint="eastAsia"/>
                <w:color w:val="0D0D0D" w:themeColor="text1" w:themeTint="F2"/>
              </w:rPr>
              <w:t>1</w:t>
            </w:r>
            <w:r>
              <w:rPr>
                <w:rFonts w:hint="eastAsia"/>
                <w:color w:val="0D0D0D" w:themeColor="text1" w:themeTint="F2"/>
              </w:rPr>
              <w:t>套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1.3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定位：原厂全新整机，国</w:t>
            </w:r>
            <w:r>
              <w:rPr>
                <w:rFonts w:hint="eastAsia"/>
                <w:color w:val="0D0D0D" w:themeColor="text1" w:themeTint="F2"/>
              </w:rPr>
              <w:t>内</w:t>
            </w:r>
            <w:r>
              <w:rPr>
                <w:rFonts w:hint="eastAsia"/>
                <w:color w:val="0D0D0D" w:themeColor="text1" w:themeTint="F2"/>
              </w:rPr>
              <w:t>先进水平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系统设备的资质要求、功能要求、配置要求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500" w:lineRule="exact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2.1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spacing w:line="500" w:lineRule="exact"/>
              <w:rPr>
                <w:color w:val="0D0D0D" w:themeColor="text1" w:themeTint="F2"/>
              </w:rPr>
            </w:pPr>
            <w:r>
              <w:rPr>
                <w:rFonts w:ascii="宋体" w:hAnsi="宋体" w:hint="eastAsia"/>
                <w:color w:val="0D0D0D" w:themeColor="text1" w:themeTint="F2"/>
              </w:rPr>
              <w:t>系统设备必须取得</w:t>
            </w:r>
            <w:r>
              <w:rPr>
                <w:rFonts w:ascii="宋体" w:hAnsi="宋体" w:hint="eastAsia"/>
                <w:color w:val="0D0D0D" w:themeColor="text1" w:themeTint="F2"/>
                <w:szCs w:val="21"/>
              </w:rPr>
              <w:t>《中华人民共和国医疗器械注册证》或及其它相关证明文件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2.2</w:t>
            </w:r>
          </w:p>
        </w:tc>
        <w:tc>
          <w:tcPr>
            <w:tcW w:w="8100" w:type="dxa"/>
          </w:tcPr>
          <w:p w:rsidR="001B11B8" w:rsidRDefault="002B21F0">
            <w:pPr>
              <w:pStyle w:val="10"/>
              <w:spacing w:line="360" w:lineRule="auto"/>
              <w:ind w:firstLineChars="0" w:firstLine="0"/>
              <w:rPr>
                <w:color w:val="0D0D0D" w:themeColor="text1" w:themeTint="F2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整个系统性能稳定、质量可靠，符合相应的国内、国际机械电气标准；必须获得相应的国际、国内资质证书（如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FDA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、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CE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、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C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FDA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、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3C</w:t>
            </w: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计量认证证书）等；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2.</w:t>
            </w:r>
            <w:r>
              <w:rPr>
                <w:rFonts w:ascii="Times New Roman" w:hAnsi="Times New Roman" w:cs="Times New Roman"/>
                <w:color w:val="0D0D0D" w:themeColor="text1" w:themeTint="F2"/>
              </w:rPr>
              <w:t>3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配置要求：</w:t>
            </w:r>
          </w:p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双人双目手术显微镜主机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 1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台</w:t>
            </w:r>
          </w:p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(180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°对手镜，连续无极变倍系统和电动微调焦系统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)                           </w:t>
            </w:r>
          </w:p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手术显微镜平衡机架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                        1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台</w:t>
            </w:r>
          </w:p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短柄万向节单目示教镜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                     1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件</w:t>
            </w:r>
          </w:p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X-Y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平面移动器带归零复位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                   1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件</w:t>
            </w:r>
          </w:p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大物镜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F=200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，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250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，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300mm               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各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1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只</w:t>
            </w:r>
          </w:p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同轴冷光源光导纤维束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                     1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根</w:t>
            </w:r>
          </w:p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8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功能脚踏控制开关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                        1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件</w:t>
            </w:r>
          </w:p>
          <w:p w:rsidR="001B11B8" w:rsidRDefault="002B21F0">
            <w:pPr>
              <w:pStyle w:val="10"/>
              <w:spacing w:line="360" w:lineRule="auto"/>
              <w:ind w:firstLineChars="0" w:firstLine="0"/>
              <w:rPr>
                <w:rFonts w:ascii="宋体" w:eastAsia="宋体" w:hAnsi="宋体"/>
                <w:color w:val="0D0D0D" w:themeColor="text1" w:themeTint="F2"/>
                <w:szCs w:val="30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独立的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LED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照明系统（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60W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）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              1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件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eastAsia="宋体" w:hAnsi="Times New Roman" w:cs="Times New Roman" w:hint="eastAsia"/>
                <w:color w:val="0D0D0D" w:themeColor="text1" w:themeTint="F2"/>
              </w:rPr>
              <w:t>2.4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pStyle w:val="10"/>
              <w:spacing w:line="360" w:lineRule="auto"/>
              <w:ind w:firstLineChars="0" w:firstLine="0"/>
              <w:rPr>
                <w:rFonts w:ascii="宋体" w:eastAsia="宋体" w:hAnsi="宋体"/>
                <w:color w:val="0D0D0D" w:themeColor="text1" w:themeTint="F2"/>
                <w:szCs w:val="30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属于标准配置的软硬件必须配置齐全，不得分解报价；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rFonts w:ascii="Times New Roman" w:eastAsia="宋体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2.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5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pStyle w:val="10"/>
              <w:spacing w:line="360" w:lineRule="auto"/>
              <w:ind w:firstLineChars="0" w:firstLine="0"/>
              <w:rPr>
                <w:rFonts w:eastAsia="宋体"/>
                <w:color w:val="0D0D0D" w:themeColor="text1" w:themeTint="F2"/>
              </w:rPr>
            </w:pPr>
            <w:r>
              <w:rPr>
                <w:rFonts w:ascii="宋体" w:eastAsia="宋体" w:hAnsi="宋体" w:hint="eastAsia"/>
                <w:color w:val="0D0D0D" w:themeColor="text1" w:themeTint="F2"/>
                <w:szCs w:val="30"/>
              </w:rPr>
              <w:t>投标文件中，须提供全面的中文或英文彩页及原版厂家技术规格说明材料；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rFonts w:ascii="Times New Roman" w:eastAsia="宋体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2.6</w:t>
            </w:r>
          </w:p>
        </w:tc>
        <w:tc>
          <w:tcPr>
            <w:tcW w:w="8100" w:type="dxa"/>
          </w:tcPr>
          <w:p w:rsidR="001B11B8" w:rsidRDefault="002B21F0">
            <w:pPr>
              <w:tabs>
                <w:tab w:val="left" w:pos="4395"/>
              </w:tabs>
              <w:spacing w:line="360" w:lineRule="auto"/>
              <w:rPr>
                <w:rFonts w:ascii="宋体" w:hAnsi="宋体"/>
                <w:color w:val="0D0D0D" w:themeColor="text1" w:themeTint="F2"/>
                <w:szCs w:val="21"/>
              </w:rPr>
            </w:pPr>
            <w:r>
              <w:rPr>
                <w:rFonts w:ascii="宋体" w:hAnsi="宋体" w:hint="eastAsia"/>
                <w:color w:val="0D0D0D" w:themeColor="text1" w:themeTint="F2"/>
              </w:rPr>
              <w:t>提供省内主要“三甲”医院用户名单。（省内无用户单位，提供国内主要“三甲”医院用户名单）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系统设备的主要技术参数、技术规格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3.1</w:t>
            </w: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400" w:lineRule="exact"/>
              <w:jc w:val="left"/>
              <w:rPr>
                <w:rFonts w:ascii="宋体" w:eastAsia="宋体" w:hAnsi="宋体"/>
                <w:color w:val="0D0D0D" w:themeColor="text1" w:themeTint="F2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D0D0D" w:themeColor="text1" w:themeTint="F2"/>
                <w:szCs w:val="21"/>
              </w:rPr>
              <w:t>显微镜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533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lastRenderedPageBreak/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1.1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eastAsia="宋体" w:hAnsi="宋体"/>
                <w:color w:val="0D0D0D" w:themeColor="text1" w:themeTint="F2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主副镜是双人双目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180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°固定体位，（对手镜）同光路、同倍率、同视场，景深一致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1.2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大物镜工作距离：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200mm 250mm 300mm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，更换大物镜简单、方便、快捷（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20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秒内）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1.3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放大倍数：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5X-25X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电动连续变倍（也可手动）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1.4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eastAsia="宋体" w:hAnsi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视野直径：Φ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55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～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Φ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11mm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</w:rPr>
            </w:pPr>
            <w:r>
              <w:rPr>
                <w:rFonts w:ascii="宋体" w:hAnsi="宋体" w:cs="宋体" w:hint="eastAsia"/>
                <w:color w:val="0D0D0D" w:themeColor="text1" w:themeTint="F2"/>
                <w:kern w:val="0"/>
                <w:sz w:val="22"/>
              </w:rPr>
              <w:t>★</w:t>
            </w:r>
            <w:r>
              <w:rPr>
                <w:rFonts w:ascii="Times New Roman" w:hAnsi="Times New Roman" w:cs="Times New Roman"/>
                <w:color w:val="0D0D0D" w:themeColor="text1" w:themeTint="F2"/>
                <w:szCs w:val="21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  <w:szCs w:val="21"/>
              </w:rPr>
              <w:t>1.5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eastAsia="宋体"/>
                <w:color w:val="0D0D0D" w:themeColor="text1" w:themeTint="F2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短型“万向节”结构单目示教镜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1.6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目镜：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12.5X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Φ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27.5mm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艾尔弗型广角目镜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3.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1.7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目距调节范围：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54mm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～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75mm,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</w:rPr>
              <w:t>3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.1.8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视度调节：±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6D,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3.1.9</w:t>
            </w: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电动微调范围：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～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40mm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3.2</w:t>
            </w: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400" w:lineRule="exact"/>
              <w:jc w:val="left"/>
              <w:rPr>
                <w:rFonts w:ascii="宋体" w:eastAsia="宋体" w:hAnsi="宋体" w:cs="Times New Roman"/>
                <w:color w:val="0D0D0D" w:themeColor="text1" w:themeTint="F2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bCs/>
                <w:color w:val="0D0D0D" w:themeColor="text1" w:themeTint="F2"/>
                <w:szCs w:val="21"/>
              </w:rPr>
              <w:t>机架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3.2.1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eastAsia="宋体" w:hAnsi="宋体" w:cs="宋体"/>
                <w:color w:val="0D0D0D" w:themeColor="text1" w:themeTint="F2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机架弹簧臂平衡式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3.2.2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粗调范围：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500mm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（地面至大物镜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900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～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1400mm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）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电动微调焦范围：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～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40mm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，</w:t>
            </w:r>
          </w:p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最大伸出距离：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1200mm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宋体" w:hAnsi="宋体" w:cs="宋体" w:hint="eastAsia"/>
                <w:color w:val="0D0D0D" w:themeColor="text1" w:themeTint="F2"/>
                <w:kern w:val="0"/>
                <w:sz w:val="22"/>
              </w:rPr>
              <w:t>★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3.2.3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X-Y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平面移动器，可自动归零复位，移动范围（前后、左右）：各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40mm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★</w:t>
            </w: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3.2.4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eastAsia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独立的双光源照明：卤素灯采用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4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灯泡瞬间转换，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150W/15V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德国进口灯泡，同轴冷光源照明，术面照度可达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80000LX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以上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3.2.5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功耗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：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～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200W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3.2.6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多功能防水脚踏开关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3.3</w:t>
            </w: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400" w:lineRule="exact"/>
              <w:jc w:val="left"/>
              <w:rPr>
                <w:rFonts w:ascii="宋体" w:hAnsi="宋体"/>
                <w:color w:val="0D0D0D" w:themeColor="text1" w:themeTint="F2"/>
              </w:rPr>
            </w:pPr>
            <w:r>
              <w:rPr>
                <w:rFonts w:ascii="宋体" w:hAnsi="宋体" w:hint="eastAsia"/>
                <w:b/>
                <w:bCs/>
                <w:color w:val="0D0D0D" w:themeColor="text1" w:themeTint="F2"/>
                <w:szCs w:val="21"/>
              </w:rPr>
              <w:t>操作器械一套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  <w:r>
              <w:rPr>
                <w:rFonts w:ascii="Times New Roman" w:hAnsi="Times New Roman" w:cs="Times New Roman" w:hint="eastAsia"/>
                <w:color w:val="0D0D0D" w:themeColor="text1" w:themeTint="F2"/>
              </w:rPr>
              <w:t>3.3.1</w:t>
            </w: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平骨刀（圆座胶木柄）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300*8,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超薄圆刃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300*10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超薄圆刃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300*12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超薄圆刃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270*8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直圆口，超薄刃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270*10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直圆口，超薄刃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1B11B8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神经剥离器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240*5*0.8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带钩带槽，颈椎型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240*5*1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带钩带槽，腰椎型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1B11B8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双头骨膜剥离器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190,2#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，滚花柄，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90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/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弯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1B11B8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带齿骨刮勺（胶木柄）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300*4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，直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300*5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直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300*6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直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1B11B8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椎板咬骨钳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260*2/10*110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°超薄型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260*3/10*110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°超薄型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260*4/10*110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°超薄型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260*2/10*130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°超薄型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</w:t>
            </w:r>
          </w:p>
          <w:p w:rsidR="001B11B8" w:rsidRDefault="002B21F0">
            <w:pPr>
              <w:widowControl/>
              <w:spacing w:line="360" w:lineRule="auto"/>
              <w:ind w:firstLineChars="800" w:firstLine="1680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260*3/10*130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°超薄型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260*4/10*130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°超薄型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1B11B8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髓核钳（指圈式）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220*2*10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220*3*10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220*2*10*150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220*3*10*150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trHeight w:val="465"/>
          <w:jc w:val="center"/>
        </w:trPr>
        <w:tc>
          <w:tcPr>
            <w:tcW w:w="1151" w:type="dxa"/>
            <w:vAlign w:val="center"/>
          </w:tcPr>
          <w:p w:rsidR="001B11B8" w:rsidRDefault="001B11B8">
            <w:pPr>
              <w:spacing w:line="360" w:lineRule="auto"/>
              <w:jc w:val="center"/>
              <w:rPr>
                <w:rFonts w:ascii="Times New Roman" w:hAnsi="Times New Roman" w:cs="Times New Roman"/>
                <w:color w:val="0D0D0D" w:themeColor="text1" w:themeTint="F2"/>
              </w:rPr>
            </w:pPr>
          </w:p>
        </w:tc>
        <w:tc>
          <w:tcPr>
            <w:tcW w:w="8100" w:type="dxa"/>
          </w:tcPr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髓核钳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260*2*6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握柄式，超硬膜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260*3*8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握柄式，超硬膜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 xml:space="preserve">260*4*10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握柄式，超硬膜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260*2*6*150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°握柄式，超硬膜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260*3*8*150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握柄式，超硬膜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  <w:p w:rsidR="001B11B8" w:rsidRDefault="002B21F0">
            <w:pPr>
              <w:widowControl/>
              <w:spacing w:line="360" w:lineRule="auto"/>
              <w:textAlignment w:val="center"/>
              <w:rPr>
                <w:rFonts w:ascii="宋体" w:eastAsia="宋体" w:hAnsi="宋体" w:cs="Times New Roman"/>
                <w:color w:val="0D0D0D" w:themeColor="text1" w:themeTint="F2"/>
              </w:rPr>
            </w:pP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260*4*10*150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°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 xml:space="preserve"> 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>握柄式，超硬膜</w:t>
            </w:r>
            <w:r>
              <w:rPr>
                <w:rFonts w:ascii="宋体" w:eastAsia="宋体" w:hAnsi="宋体" w:cs="Times New Roman" w:hint="eastAsia"/>
                <w:color w:val="0D0D0D" w:themeColor="text1" w:themeTint="F2"/>
              </w:rPr>
              <w:tab/>
              <w:t>1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售后服务内容和要求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4.1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szCs w:val="21"/>
              </w:rPr>
              <w:t>整机</w:t>
            </w:r>
            <w:r>
              <w:rPr>
                <w:rFonts w:ascii="宋体" w:eastAsia="宋体" w:hAnsi="宋体" w:cs="宋体" w:hint="eastAsia"/>
                <w:color w:val="0D0D0D" w:themeColor="text1" w:themeTint="F2"/>
                <w:szCs w:val="21"/>
              </w:rPr>
              <w:t>免费保修期</w:t>
            </w:r>
            <w:r>
              <w:rPr>
                <w:rFonts w:ascii="宋体" w:eastAsia="宋体" w:hAnsi="宋体" w:cs="宋体" w:hint="eastAsia"/>
                <w:color w:val="0D0D0D" w:themeColor="text1" w:themeTint="F2"/>
                <w:szCs w:val="21"/>
              </w:rPr>
              <w:t>：≥</w:t>
            </w:r>
            <w:r>
              <w:rPr>
                <w:rFonts w:ascii="宋体" w:eastAsia="宋体" w:hAnsi="宋体" w:cs="宋体" w:hint="eastAsia"/>
                <w:color w:val="0D0D0D" w:themeColor="text1" w:themeTint="F2"/>
                <w:szCs w:val="21"/>
              </w:rPr>
              <w:t>3</w:t>
            </w:r>
            <w:r>
              <w:rPr>
                <w:rFonts w:ascii="宋体" w:eastAsia="宋体" w:hAnsi="宋体" w:cs="宋体" w:hint="eastAsia"/>
                <w:color w:val="0D0D0D" w:themeColor="text1" w:themeTint="F2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color w:val="0D0D0D" w:themeColor="text1" w:themeTint="F2"/>
                <w:szCs w:val="21"/>
              </w:rPr>
              <w:t>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4.2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供应商在昆明有售后服务机构，有专职工程师提供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7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×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24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小时的技术及售后服务。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color w:val="0D0D0D" w:themeColor="text1" w:themeTint="F2"/>
              </w:rPr>
            </w:pPr>
            <w:r>
              <w:rPr>
                <w:rFonts w:hint="eastAsia"/>
                <w:color w:val="0D0D0D" w:themeColor="text1" w:themeTint="F2"/>
              </w:rPr>
              <w:t>4.3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提供培训计划，免费系统培训操作技师、保养技师和本院维修工程师。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4.</w:t>
            </w:r>
            <w:r>
              <w:rPr>
                <w:rFonts w:hint="eastAsia"/>
                <w:color w:val="0D0D0D" w:themeColor="text1" w:themeTint="F2"/>
              </w:rPr>
              <w:t>4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rFonts w:eastAsia="宋体"/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维修响应时间≤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2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小时，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24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小时内排除故障，每年不少于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4</w:t>
            </w: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次技术支持。</w:t>
            </w:r>
            <w:r>
              <w:rPr>
                <w:rFonts w:ascii="宋体" w:hAnsi="宋体" w:hint="eastAsia"/>
                <w:color w:val="0D0D0D" w:themeColor="text1" w:themeTint="F2"/>
              </w:rPr>
              <w:t>不定期寻访医院，及时解决医院的各种问题</w:t>
            </w:r>
            <w:r>
              <w:rPr>
                <w:rFonts w:ascii="宋体" w:hAnsi="宋体" w:hint="eastAsia"/>
                <w:color w:val="0D0D0D" w:themeColor="text1" w:themeTint="F2"/>
              </w:rPr>
              <w:t>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4.</w:t>
            </w:r>
            <w:r>
              <w:rPr>
                <w:rFonts w:hint="eastAsia"/>
                <w:color w:val="0D0D0D" w:themeColor="text1" w:themeTint="F2"/>
              </w:rPr>
              <w:t>5</w:t>
            </w:r>
          </w:p>
        </w:tc>
        <w:tc>
          <w:tcPr>
            <w:tcW w:w="8100" w:type="dxa"/>
            <w:vAlign w:val="center"/>
          </w:tcPr>
          <w:p w:rsidR="001B11B8" w:rsidRDefault="002B21F0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制造商国内具有保税区零备件仓库以保证配件及时供应。</w:t>
            </w:r>
            <w:r>
              <w:rPr>
                <w:rFonts w:ascii="宋体" w:hAnsi="宋体" w:hint="eastAsia"/>
                <w:color w:val="0D0D0D" w:themeColor="text1" w:themeTint="F2"/>
              </w:rPr>
              <w:t>保修期后配件费用按成本价收取，免工时费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  <w:tr w:rsidR="001B11B8">
        <w:trPr>
          <w:jc w:val="center"/>
        </w:trPr>
        <w:tc>
          <w:tcPr>
            <w:tcW w:w="1151" w:type="dxa"/>
            <w:vAlign w:val="center"/>
          </w:tcPr>
          <w:p w:rsidR="001B11B8" w:rsidRDefault="002B21F0">
            <w:pPr>
              <w:jc w:val="center"/>
              <w:rPr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4.</w:t>
            </w:r>
            <w:r>
              <w:rPr>
                <w:rFonts w:hint="eastAsia"/>
                <w:color w:val="0D0D0D" w:themeColor="text1" w:themeTint="F2"/>
              </w:rPr>
              <w:t>6</w:t>
            </w:r>
          </w:p>
        </w:tc>
        <w:tc>
          <w:tcPr>
            <w:tcW w:w="8100" w:type="dxa"/>
          </w:tcPr>
          <w:p w:rsidR="001B11B8" w:rsidRDefault="002B21F0">
            <w:pPr>
              <w:spacing w:line="360" w:lineRule="auto"/>
              <w:rPr>
                <w:color w:val="0D0D0D" w:themeColor="text1" w:themeTint="F2"/>
              </w:rPr>
            </w:pPr>
            <w:r>
              <w:rPr>
                <w:rFonts w:ascii="宋体" w:eastAsia="宋体" w:hAnsi="宋体" w:cs="宋体" w:hint="eastAsia"/>
                <w:color w:val="0D0D0D" w:themeColor="text1" w:themeTint="F2"/>
                <w:kern w:val="0"/>
                <w:szCs w:val="21"/>
              </w:rPr>
              <w:t>提供详细的产品技术彩页资料、技术资料（含操作手册、维修手册），除原版技术资料外，还须提供中文技术资料。进口设备必须具备中英文操作说明书；进口设备的电源及电源插头必须符合中国要求；设备的关键部位必须贴有小心操作，注意危险等中文标示。</w:t>
            </w:r>
          </w:p>
        </w:tc>
        <w:tc>
          <w:tcPr>
            <w:tcW w:w="954" w:type="dxa"/>
          </w:tcPr>
          <w:p w:rsidR="001B11B8" w:rsidRDefault="001B11B8">
            <w:pPr>
              <w:rPr>
                <w:color w:val="0D0D0D" w:themeColor="text1" w:themeTint="F2"/>
              </w:rPr>
            </w:pPr>
          </w:p>
        </w:tc>
      </w:tr>
    </w:tbl>
    <w:p w:rsidR="001B11B8" w:rsidRDefault="001B11B8">
      <w:pPr>
        <w:rPr>
          <w:color w:val="0D0D0D" w:themeColor="text1" w:themeTint="F2"/>
        </w:rPr>
      </w:pPr>
    </w:p>
    <w:p w:rsidR="001B11B8" w:rsidRDefault="001B11B8">
      <w:pPr>
        <w:rPr>
          <w:color w:val="0D0D0D" w:themeColor="text1" w:themeTint="F2"/>
        </w:rPr>
      </w:pPr>
    </w:p>
    <w:p w:rsidR="001B11B8" w:rsidRDefault="001B11B8">
      <w:pPr>
        <w:rPr>
          <w:color w:val="0D0D0D" w:themeColor="text1" w:themeTint="F2"/>
        </w:rPr>
      </w:pPr>
    </w:p>
    <w:p w:rsidR="001B11B8" w:rsidRDefault="001B11B8">
      <w:pPr>
        <w:rPr>
          <w:color w:val="0D0D0D" w:themeColor="text1" w:themeTint="F2"/>
        </w:rPr>
      </w:pPr>
    </w:p>
    <w:p w:rsidR="001B11B8" w:rsidRDefault="001B11B8">
      <w:pPr>
        <w:jc w:val="left"/>
        <w:rPr>
          <w:rFonts w:ascii="宋体" w:eastAsia="宋体" w:hAnsi="宋体" w:cs="宋体"/>
          <w:color w:val="0D0D0D" w:themeColor="text1" w:themeTint="F2"/>
          <w:kern w:val="0"/>
          <w:sz w:val="28"/>
          <w:szCs w:val="28"/>
        </w:rPr>
      </w:pPr>
    </w:p>
    <w:sectPr w:rsidR="001B11B8" w:rsidSect="001B11B8">
      <w:footerReference w:type="default" r:id="rId8"/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21F0" w:rsidRDefault="002B21F0" w:rsidP="001B11B8">
      <w:r>
        <w:separator/>
      </w:r>
    </w:p>
  </w:endnote>
  <w:endnote w:type="continuationSeparator" w:id="1">
    <w:p w:rsidR="002B21F0" w:rsidRDefault="002B21F0" w:rsidP="001B11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default"/>
    <w:sig w:usb0="00000000" w:usb1="00000000" w:usb2="00000009" w:usb3="00000000" w:csb0="2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11B8" w:rsidRDefault="001B11B8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9HKErcBAABXAwAADgAAAGRycy9lMm9Eb2MueG1srVNNrtMwEN4jcQfL&#10;e5q00kMlavoEenoICQHSgwO4jt1Y8p9m3Ca9ANyAFRv2nKvnYOwmffzsEBtnPDP+Zr5vJpvb0Vl2&#10;VIAm+JYvFzVnysvQGb9v+aeP98/WnGESvhM2eNXyk0J+u336ZDPERq1CH2yngBGIx2aILe9Tik1V&#10;oeyVE7gIUXkK6gBOJLrCvupADITubLWq6+fVEKCLEKRCJO/dJci3BV9rJdN7rVElZltOvaVyQjl3&#10;+ay2G9HsQcTeyKkN8Q9dOGE8Fb1C3Ykk2AHMX1DOSAgYdFrI4KqgtZGqcCA2y/oPNg+9iKpwIXEw&#10;XmXC/wcr3x0/ADMdzY4zLxyN6Pz1y/nbj/P3z2xZr26yQkPEhhIfIqWm8VUYc/bkR3Jm4qMGl79E&#10;iVGctD5d9VVjYjI/Wq/W65pCkmLzhXCqx+cRML1WwbFstBxogEVXcXyL6ZI6p+RqPtwba8kvGuvZ&#10;0PIXN9TybxECt55qZBKXZrOVxt04MdiF7kTEBlqClnvaUs7sG08a532ZDZiN3WwcIph9XxYq18P4&#10;8pCom9JkrnCBnQrT9ArNadPyevx6L1mP/8P2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0coStwEAAFcDAAAOAAAAAAAAAAEAIAAAAB4BAABkcnMvZTJvRG9jLnhtbFBLBQYAAAAABgAGAFkB&#10;AABHBQAAAAA=&#10;" filled="f" stroked="f">
          <v:textbox style="mso-fit-shape-to-text:t" inset="0,0,0,0">
            <w:txbxContent>
              <w:p w:rsidR="001B11B8" w:rsidRDefault="001B11B8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2B21F0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762B99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21F0" w:rsidRDefault="002B21F0" w:rsidP="001B11B8">
      <w:r>
        <w:separator/>
      </w:r>
    </w:p>
  </w:footnote>
  <w:footnote w:type="continuationSeparator" w:id="1">
    <w:p w:rsidR="002B21F0" w:rsidRDefault="002B21F0" w:rsidP="001B11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974F7F"/>
    <w:multiLevelType w:val="singleLevel"/>
    <w:tmpl w:val="61974F7F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2CA4"/>
    <w:rsid w:val="001B11B8"/>
    <w:rsid w:val="002B21F0"/>
    <w:rsid w:val="002B3568"/>
    <w:rsid w:val="00581469"/>
    <w:rsid w:val="00631191"/>
    <w:rsid w:val="006D2CA4"/>
    <w:rsid w:val="00762B99"/>
    <w:rsid w:val="00A0455D"/>
    <w:rsid w:val="00EA3AFD"/>
    <w:rsid w:val="01675113"/>
    <w:rsid w:val="036D77EA"/>
    <w:rsid w:val="041B0AF9"/>
    <w:rsid w:val="06120570"/>
    <w:rsid w:val="06EC0993"/>
    <w:rsid w:val="0F193953"/>
    <w:rsid w:val="108101C1"/>
    <w:rsid w:val="124D1106"/>
    <w:rsid w:val="128E0192"/>
    <w:rsid w:val="16A678B7"/>
    <w:rsid w:val="16D53FD7"/>
    <w:rsid w:val="1AA41574"/>
    <w:rsid w:val="1D9D498F"/>
    <w:rsid w:val="1E070B26"/>
    <w:rsid w:val="1E0F3ACB"/>
    <w:rsid w:val="2047366F"/>
    <w:rsid w:val="20566CAE"/>
    <w:rsid w:val="218015BF"/>
    <w:rsid w:val="25A60160"/>
    <w:rsid w:val="25F87645"/>
    <w:rsid w:val="26C968E4"/>
    <w:rsid w:val="28BC74DF"/>
    <w:rsid w:val="2A6326ED"/>
    <w:rsid w:val="2A6E6241"/>
    <w:rsid w:val="2D0A64AD"/>
    <w:rsid w:val="2E893722"/>
    <w:rsid w:val="30AD359C"/>
    <w:rsid w:val="30BE2C80"/>
    <w:rsid w:val="31315743"/>
    <w:rsid w:val="33A35F01"/>
    <w:rsid w:val="391719C4"/>
    <w:rsid w:val="3AE2386F"/>
    <w:rsid w:val="3DD07C2E"/>
    <w:rsid w:val="3E0A5C31"/>
    <w:rsid w:val="3F135E50"/>
    <w:rsid w:val="3F5B292D"/>
    <w:rsid w:val="40D96EAE"/>
    <w:rsid w:val="41D35430"/>
    <w:rsid w:val="43463AB8"/>
    <w:rsid w:val="46CB2798"/>
    <w:rsid w:val="470755BD"/>
    <w:rsid w:val="498371A7"/>
    <w:rsid w:val="4B7A72E2"/>
    <w:rsid w:val="4CD765B7"/>
    <w:rsid w:val="4E8D44B3"/>
    <w:rsid w:val="4F9A5B28"/>
    <w:rsid w:val="50396AA4"/>
    <w:rsid w:val="55CE4216"/>
    <w:rsid w:val="55D7131D"/>
    <w:rsid w:val="59C223CC"/>
    <w:rsid w:val="5ABB3051"/>
    <w:rsid w:val="5C9E5001"/>
    <w:rsid w:val="5F515BEF"/>
    <w:rsid w:val="601720E3"/>
    <w:rsid w:val="633619FB"/>
    <w:rsid w:val="63722511"/>
    <w:rsid w:val="64F0354A"/>
    <w:rsid w:val="65360E2D"/>
    <w:rsid w:val="65CB7E92"/>
    <w:rsid w:val="660569F7"/>
    <w:rsid w:val="6D811E24"/>
    <w:rsid w:val="6E066245"/>
    <w:rsid w:val="6E385636"/>
    <w:rsid w:val="6EB2399D"/>
    <w:rsid w:val="6FC9656D"/>
    <w:rsid w:val="70CF4F21"/>
    <w:rsid w:val="71962BBA"/>
    <w:rsid w:val="720B538C"/>
    <w:rsid w:val="73E34883"/>
    <w:rsid w:val="749255CD"/>
    <w:rsid w:val="77833BD3"/>
    <w:rsid w:val="78CF496D"/>
    <w:rsid w:val="78EE7849"/>
    <w:rsid w:val="78F35AD2"/>
    <w:rsid w:val="7E0259B4"/>
    <w:rsid w:val="7E08067B"/>
    <w:rsid w:val="7E9D1C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qFormat="1"/>
    <w:lsdException w:name="Subtitle" w:semiHidden="0" w:uiPriority="11" w:unhideWhenUsed="0" w:qFormat="1"/>
    <w:lsdException w:name="Body Text First Indent 2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1B11B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B11B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1B11B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unhideWhenUsed/>
    <w:qFormat/>
    <w:rsid w:val="001B11B8"/>
    <w:pPr>
      <w:ind w:firstLine="420"/>
    </w:pPr>
    <w:rPr>
      <w:rFonts w:hAnsi="宋体"/>
    </w:rPr>
  </w:style>
  <w:style w:type="paragraph" w:styleId="a3">
    <w:name w:val="Body Text Indent"/>
    <w:basedOn w:val="a"/>
    <w:uiPriority w:val="99"/>
    <w:unhideWhenUsed/>
    <w:qFormat/>
    <w:rsid w:val="001B11B8"/>
    <w:pPr>
      <w:spacing w:line="460" w:lineRule="exact"/>
      <w:ind w:firstLine="510"/>
    </w:pPr>
    <w:rPr>
      <w:szCs w:val="20"/>
    </w:rPr>
  </w:style>
  <w:style w:type="paragraph" w:styleId="a4">
    <w:name w:val="Balloon Text"/>
    <w:basedOn w:val="a"/>
    <w:link w:val="Char"/>
    <w:uiPriority w:val="99"/>
    <w:unhideWhenUsed/>
    <w:qFormat/>
    <w:rsid w:val="001B11B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1B11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1B11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1B11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Title"/>
    <w:basedOn w:val="a"/>
    <w:next w:val="a"/>
    <w:uiPriority w:val="10"/>
    <w:qFormat/>
    <w:rsid w:val="001B11B8"/>
    <w:pPr>
      <w:spacing w:before="240" w:after="60"/>
      <w:jc w:val="center"/>
      <w:outlineLvl w:val="0"/>
    </w:pPr>
    <w:rPr>
      <w:rFonts w:ascii="Calibri Light" w:eastAsia="宋体" w:hAnsi="Calibri Light" w:cs="Times New Roman"/>
      <w:b/>
      <w:bCs/>
      <w:sz w:val="32"/>
      <w:szCs w:val="32"/>
    </w:rPr>
  </w:style>
  <w:style w:type="character" w:styleId="a9">
    <w:name w:val="Strong"/>
    <w:basedOn w:val="a0"/>
    <w:uiPriority w:val="22"/>
    <w:qFormat/>
    <w:rsid w:val="001B11B8"/>
    <w:rPr>
      <w:b/>
      <w:bCs/>
    </w:rPr>
  </w:style>
  <w:style w:type="table" w:styleId="aa">
    <w:name w:val="Table Grid"/>
    <w:basedOn w:val="a1"/>
    <w:uiPriority w:val="59"/>
    <w:qFormat/>
    <w:rsid w:val="001B11B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表格文字"/>
    <w:basedOn w:val="a"/>
    <w:qFormat/>
    <w:rsid w:val="001B11B8"/>
    <w:pPr>
      <w:spacing w:before="25" w:after="25"/>
      <w:jc w:val="left"/>
    </w:pPr>
    <w:rPr>
      <w:bCs/>
      <w:spacing w:val="10"/>
      <w:kern w:val="0"/>
      <w:sz w:val="24"/>
    </w:rPr>
  </w:style>
  <w:style w:type="character" w:customStyle="1" w:styleId="Char1">
    <w:name w:val="页眉 Char"/>
    <w:basedOn w:val="a0"/>
    <w:link w:val="a6"/>
    <w:uiPriority w:val="99"/>
    <w:semiHidden/>
    <w:qFormat/>
    <w:rsid w:val="001B11B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1B11B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1B11B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semiHidden/>
    <w:qFormat/>
    <w:rsid w:val="001B11B8"/>
    <w:rPr>
      <w:b/>
      <w:bCs/>
      <w:sz w:val="32"/>
      <w:szCs w:val="3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1B11B8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1B11B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330</Words>
  <Characters>1887</Characters>
  <Application>Microsoft Office Word</Application>
  <DocSecurity>0</DocSecurity>
  <Lines>15</Lines>
  <Paragraphs>4</Paragraphs>
  <ScaleCrop>false</ScaleCrop>
  <Company>Sky123.Org</Company>
  <LinksUpToDate>false</LinksUpToDate>
  <CharactersWithSpaces>2213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AutoBVT</cp:lastModifiedBy>
  <cp:revision>21</cp:revision>
  <cp:lastPrinted>2021-11-22T07:23:00Z</cp:lastPrinted>
  <dcterms:created xsi:type="dcterms:W3CDTF">2019-02-11T06:41:00Z</dcterms:created>
  <dcterms:modified xsi:type="dcterms:W3CDTF">2021-12-04T13:13:00Z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