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污水处理站污泥处置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2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4572"/>
        <w:gridCol w:w="4095"/>
        <w:gridCol w:w="39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57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0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  <w:bookmarkStart w:id="0" w:name="_GoBack"/>
            <w:bookmarkEnd w:id="0"/>
          </w:p>
        </w:tc>
        <w:tc>
          <w:tcPr>
            <w:tcW w:w="39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单价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7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7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污泥处置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吨</w:t>
            </w:r>
          </w:p>
        </w:tc>
        <w:tc>
          <w:tcPr>
            <w:tcW w:w="3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</w:t>
      </w:r>
      <w:r>
        <w:rPr>
          <w:rFonts w:hint="eastAsia"/>
          <w:sz w:val="30"/>
          <w:szCs w:val="30"/>
          <w:lang w:eastAsia="zh-CN"/>
        </w:rPr>
        <w:t>运输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1A2F206B"/>
    <w:rsid w:val="25FF14B2"/>
    <w:rsid w:val="29125D90"/>
    <w:rsid w:val="33494501"/>
    <w:rsid w:val="339125EB"/>
    <w:rsid w:val="41316E5A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354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2022-04-29T08:35:19Z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