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4"/>
          <w:lang w:val="en-US" w:eastAsia="zh-CN"/>
        </w:rPr>
        <w:t>附件2：</w:t>
      </w:r>
      <w:r>
        <w:rPr>
          <w:rFonts w:hint="eastAsia"/>
          <w:sz w:val="32"/>
          <w:szCs w:val="24"/>
          <w:lang w:val="en-US" w:eastAsia="zh-CN"/>
        </w:rPr>
        <w:t>产品主要技术参数与要求</w:t>
      </w:r>
    </w:p>
    <w:tbl>
      <w:tblPr>
        <w:tblStyle w:val="4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主要技术参数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lang w:val="en-US" w:eastAsia="zh-CN"/>
              </w:rPr>
              <w:t>下一代防火墙（数量1台）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性能要求：标准1U设备，网络层吞吐量≥20Gbps，IPS吞吐量≥1.3G，并发连接数≥200万，新建连接数≥9万，提供≥8个千兆电口，≥4个万兆光口SFP+，带ByPass模块，提供≥3年软件升级以及≥3年硬件维保。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（提供产品彩页或相关证明材料）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支持并提供≥3年防护规则库，规则库包括WEB应用防护识别库、IPS特征库、僵尸网络防护库、实时漏洞分析识别库和URL&amp;应用识别库定期更新，保持设备具备检测防御最新威胁的能力。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支持基于应用、服务、时间、域名、IPv6对象等维度的访问控制。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为实现失陷主机的精准检测，产品需支持并提供≥3年云威胁情报网关，具备威胁情报云查和网关杀毒功能，通过全球超过30+pop节点，实现对威胁流量就近进行实时检测&amp;拦截，实现失陷外联实时阻断，保护资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支持勒索病毒检测与防御功能。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支持对不少于9100种应用的识别和控制，应用类型包括游戏、购物、图书百科、工作招聘、P2P下载、聊天工具、旅游出行、股票软件等类型应用进行检测与控制。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支持ftp协议命令控制功能，至少包含delete、rmdir、mkdir、rename、mget、dir、mput、get、put等，保护对外服务不被恶意篡改。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支持僵尸主机检测功能，内置僵尸网络特征库，可识别主机的异常外联行为。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产品内置不低于10800种漏洞规则，同时支持在控制台界面通过漏洞ID、漏洞名称、危险等级、漏洞CVE标识、漏洞描述等条件查询漏洞特征信息，支持用户自定义IPS规则。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支持策略生命周期管理功能，支持对安全策略修改的时间、原因、变更类型进行统一管理，便于策略的运维与管理。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支持异常数据包攻击防御，防护类型包括IP数据块分片传输防护、Teardrop攻击防护、Smurf攻击防护、Land攻击防护、WinNuke攻击防护等攻击类型。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楷体" w:hAnsi="楷体" w:eastAsia="楷体" w:cs="方正黑体_GBK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1080"/>
    <w:rsid w:val="108D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styleId="3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2024-10-25T08:25:00Z</dcterms:created>
  <dc:creator>Administrator</dc:creator>
  <cp:lastModifiedBy>Administrator</cp:lastModifiedBy>
  <dcterms:modified xsi:type="dcterms:W3CDTF">2024-10-25T08:29:45Z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DF7B2FBCE61744A1BF7378C9657CAEE1</vt:lpwstr>
  </property>
</Properties>
</file>