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61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附件2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</w:t>
      </w:r>
    </w:p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技术规格</w:t>
      </w:r>
    </w:p>
    <w:tbl>
      <w:tblPr>
        <w:tblStyle w:val="5"/>
        <w:tblW w:w="15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695"/>
        <w:gridCol w:w="9803"/>
        <w:gridCol w:w="660"/>
        <w:gridCol w:w="765"/>
        <w:gridCol w:w="1693"/>
      </w:tblGrid>
      <w:tr w14:paraId="3C5E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0FA894B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95" w:type="dxa"/>
            <w:noWrap w:val="0"/>
            <w:vAlign w:val="center"/>
          </w:tcPr>
          <w:p w14:paraId="262748F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9803" w:type="dxa"/>
            <w:noWrap w:val="0"/>
            <w:vAlign w:val="top"/>
          </w:tcPr>
          <w:p w14:paraId="108C452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660" w:type="dxa"/>
            <w:noWrap w:val="0"/>
            <w:vAlign w:val="center"/>
          </w:tcPr>
          <w:p w14:paraId="320EAD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65" w:type="dxa"/>
            <w:noWrap w:val="0"/>
            <w:vAlign w:val="center"/>
          </w:tcPr>
          <w:p w14:paraId="6D91DC0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693" w:type="dxa"/>
            <w:noWrap w:val="0"/>
            <w:vAlign w:val="center"/>
          </w:tcPr>
          <w:p w14:paraId="0287DE7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预算金额（元）</w:t>
            </w:r>
          </w:p>
        </w:tc>
      </w:tr>
      <w:tr w14:paraId="3E74B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7B4611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 w14:paraId="60CAC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超低温保存箱</w:t>
            </w:r>
          </w:p>
        </w:tc>
        <w:tc>
          <w:tcPr>
            <w:tcW w:w="9803" w:type="dxa"/>
            <w:noWrap w:val="0"/>
            <w:vAlign w:val="center"/>
          </w:tcPr>
          <w:p w14:paraId="09213FC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一 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设备用途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用于人体检测样品、药品、疫苗、生物制品等的超低温保存，适用于医院、科研机构等场景。</w:t>
            </w:r>
          </w:p>
          <w:p w14:paraId="6074A4D2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参数</w:t>
            </w:r>
          </w:p>
          <w:p w14:paraId="4F537AA0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1.基本规格：</w:t>
            </w:r>
          </w:p>
          <w:p w14:paraId="7EA68BD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立式单门设计，有效容积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0AAD37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外部尺寸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0×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×1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mm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因场地受限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 w14:paraId="5281821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2.温度性能：</w:t>
            </w:r>
          </w:p>
          <w:p w14:paraId="7BE43C1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控温范围：-40℃～-86℃，控温精度±0.1℃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6455F7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温度均匀性≤4℃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5A0DB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内胆材料：304镜面不锈钢，易清洁、耐腐蚀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4014756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制冷系统：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采用低噪音高效压缩机，降温时间短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A5B4208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3.结构设计：</w:t>
            </w:r>
          </w:p>
          <w:p w14:paraId="2F82EA0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标配1层可调节不锈钢搁架，1个不锈钢内门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89AED5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暗把手设计，可加挂锁，双硅胶门封（耐温-100℃）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E20F3D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4.制冷配置：</w:t>
            </w:r>
          </w:p>
          <w:p w14:paraId="36F17C2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进口高效压缩机，进口低噪音风机，智能散热控制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E5F57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采用无疿环保制冷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剂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3A4242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保温层：≧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两层，并提供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发泡剂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9D62CC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5.安全功能：</w:t>
            </w:r>
          </w:p>
          <w:p w14:paraId="6534D3BF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童锁、压机延时、高温保护等多重保护</w:t>
            </w:r>
          </w:p>
          <w:p w14:paraId="56B6F341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声光报警（高低温、传感器故障），可选配断电报警</w:t>
            </w:r>
          </w:p>
          <w:p w14:paraId="43758B1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6.其他配置：</w:t>
            </w:r>
          </w:p>
          <w:p w14:paraId="468E1EB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6.1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LED显示屏（0.1℃精度），4个万向脚轮（带锁定）</w:t>
            </w:r>
          </w:p>
          <w:p w14:paraId="72970A5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6.2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左侧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带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测试孔，匹配冻存架（140×282×175mm）4个</w:t>
            </w:r>
          </w:p>
          <w:p w14:paraId="2D0C156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6.3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2ml冻存管存量：≧2400个（24/10×10冻存盒）</w:t>
            </w:r>
          </w:p>
          <w:p w14:paraId="7C34E71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6.4 使用年限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6年</w:t>
            </w:r>
          </w:p>
          <w:p w14:paraId="204566E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三、资质要求</w:t>
            </w:r>
          </w:p>
          <w:p w14:paraId="5EB0332B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1.投标方需提供《医疗器械经营许可证》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59C81A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2.生产企业需通过ISO9001、ISO13485认证（提供证书）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D7A83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3.产品需提供《医疗器械注册证》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5225EF4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四、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售后服务</w:t>
            </w:r>
          </w:p>
          <w:p w14:paraId="3B97827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1.保修期：整机免费保修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0FA8E5A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2.响应时间：1小时内响应，24小时内现场服务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944C85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3.技术支持：终身免费技术咨询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660" w:type="dxa"/>
            <w:noWrap w:val="0"/>
            <w:vAlign w:val="center"/>
          </w:tcPr>
          <w:p w14:paraId="5A4C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noWrap w:val="0"/>
            <w:vAlign w:val="center"/>
          </w:tcPr>
          <w:p w14:paraId="5FE1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1F3A3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30000.00</w:t>
            </w:r>
          </w:p>
        </w:tc>
      </w:tr>
      <w:tr w14:paraId="63075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4D6DFC5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FD62056">
            <w:pPr>
              <w:pStyle w:val="3"/>
              <w:spacing w:line="0" w:lineRule="atLeast"/>
              <w:jc w:val="both"/>
              <w:rPr>
                <w:rFonts w:hint="default"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803" w:type="dxa"/>
            <w:noWrap w:val="0"/>
            <w:vAlign w:val="center"/>
          </w:tcPr>
          <w:p w14:paraId="0B3A875A">
            <w:pPr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合计：</w:t>
            </w:r>
          </w:p>
        </w:tc>
        <w:tc>
          <w:tcPr>
            <w:tcW w:w="660" w:type="dxa"/>
            <w:noWrap w:val="0"/>
            <w:vAlign w:val="center"/>
          </w:tcPr>
          <w:p w14:paraId="2522A018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5D5797F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5C5252EB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30000.00</w:t>
            </w:r>
          </w:p>
        </w:tc>
      </w:tr>
    </w:tbl>
    <w:p w14:paraId="543F4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注：标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注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/>
        </w:rPr>
        <w:t>★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”的条款必须满足。</w:t>
      </w:r>
    </w:p>
    <w:p w14:paraId="3EBA2880">
      <w:bookmarkStart w:id="0" w:name="_GoBack"/>
      <w:bookmarkEnd w:id="0"/>
    </w:p>
    <w:sectPr>
      <w:headerReference r:id="rId3" w:type="default"/>
      <w:pgSz w:w="16838" w:h="11906" w:orient="landscape"/>
      <w:pgMar w:top="1191" w:right="1191" w:bottom="1191" w:left="1020" w:header="85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89B7D">
    <w:pPr>
      <w:spacing w:line="235" w:lineRule="auto"/>
      <w:ind w:firstLine="20"/>
      <w:jc w:val="left"/>
      <w:rPr>
        <w:rFonts w:hint="eastAsia" w:ascii="宋体" w:hAnsi="宋体" w:eastAsia="宋体" w:cs="宋体"/>
        <w:sz w:val="24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700DE"/>
    <w:rsid w:val="0A87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2025-08-29T01:41:00Z</dcterms:created>
  <dc:creator>李佼佼</dc:creator>
  <cp:lastModifiedBy>李佼佼</cp:lastModifiedBy>
  <dcterms:modified xsi:type="dcterms:W3CDTF">2025-08-29T01:42:18Z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3D651E88428649A0A6A8904C625887B0_11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